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270" w:tblpY="-329"/>
        <w:tblW w:w="0" w:type="auto"/>
        <w:tblLayout w:type="fixed"/>
        <w:tblLook w:val="00A0" w:firstRow="1" w:lastRow="0" w:firstColumn="1" w:lastColumn="0" w:noHBand="0" w:noVBand="0"/>
      </w:tblPr>
      <w:tblGrid>
        <w:gridCol w:w="7218"/>
        <w:gridCol w:w="2970"/>
        <w:gridCol w:w="2988"/>
      </w:tblGrid>
      <w:tr w:rsidR="00B150E6" w:rsidRPr="00177ED2" w:rsidTr="00B150E6">
        <w:tc>
          <w:tcPr>
            <w:tcW w:w="7218" w:type="dxa"/>
            <w:shd w:val="clear" w:color="auto" w:fill="E6E6E6"/>
          </w:tcPr>
          <w:p w:rsidR="00B150E6" w:rsidRPr="00F107C1" w:rsidRDefault="00B150E6" w:rsidP="00B150E6">
            <w:pPr>
              <w:rPr>
                <w:b/>
                <w:sz w:val="32"/>
              </w:rPr>
            </w:pPr>
            <w:bookmarkStart w:id="0" w:name="_GoBack"/>
            <w:bookmarkEnd w:id="0"/>
            <w:r w:rsidRPr="00F107C1">
              <w:rPr>
                <w:b/>
                <w:sz w:val="32"/>
              </w:rPr>
              <w:t>Classroom Library Considerations</w:t>
            </w:r>
          </w:p>
        </w:tc>
        <w:tc>
          <w:tcPr>
            <w:tcW w:w="2970" w:type="dxa"/>
            <w:shd w:val="clear" w:color="auto" w:fill="E6E6E6"/>
          </w:tcPr>
          <w:p w:rsidR="00B150E6" w:rsidRPr="00177ED2" w:rsidRDefault="00B150E6" w:rsidP="00B150E6"/>
        </w:tc>
        <w:tc>
          <w:tcPr>
            <w:tcW w:w="2988" w:type="dxa"/>
            <w:shd w:val="clear" w:color="auto" w:fill="E6E6E6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  <w:shd w:val="clear" w:color="auto" w:fill="E6E6E6"/>
          </w:tcPr>
          <w:p w:rsidR="00B150E6" w:rsidRPr="00177ED2" w:rsidRDefault="00B150E6" w:rsidP="00B150E6"/>
        </w:tc>
        <w:tc>
          <w:tcPr>
            <w:tcW w:w="2970" w:type="dxa"/>
            <w:shd w:val="clear" w:color="auto" w:fill="E6E6E6"/>
          </w:tcPr>
          <w:p w:rsidR="00B150E6" w:rsidRPr="00177ED2" w:rsidRDefault="00B150E6" w:rsidP="00B150E6">
            <w:r w:rsidRPr="00177ED2">
              <w:t>In reviewing the classroom library we noticed…</w:t>
            </w:r>
          </w:p>
        </w:tc>
        <w:tc>
          <w:tcPr>
            <w:tcW w:w="2988" w:type="dxa"/>
            <w:shd w:val="clear" w:color="auto" w:fill="E6E6E6"/>
          </w:tcPr>
          <w:p w:rsidR="00B150E6" w:rsidRPr="00177ED2" w:rsidRDefault="00B150E6" w:rsidP="00B150E6">
            <w:r w:rsidRPr="00177ED2">
              <w:t>Our goal in this area is…</w:t>
            </w:r>
          </w:p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rPr>
                <w:b/>
              </w:rPr>
              <w:t>Total number of books</w:t>
            </w:r>
            <w:r w:rsidRPr="00177ED2">
              <w:t xml:space="preserve"> in the classroom collection:  Research recommends: 700 to 750 for primary classrooms and 400 books for upper grade classrooms… Fewer will work if collections are rotated frequently to provide variety and keep interest high.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Is there adequate coverage of the </w:t>
            </w:r>
            <w:r w:rsidRPr="00177ED2">
              <w:rPr>
                <w:b/>
              </w:rPr>
              <w:t>full range of levels</w:t>
            </w:r>
            <w:r w:rsidRPr="00177ED2">
              <w:t xml:space="preserve"> represented by the readers in this classroom?  Every reader in the classroom should be able to find a significant number of “easy” and “just right” books on a wide array of topics and genre.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How is the </w:t>
            </w:r>
            <w:r w:rsidRPr="00177ED2">
              <w:rPr>
                <w:b/>
              </w:rPr>
              <w:t>fiction to nonfiction balance</w:t>
            </w:r>
            <w:r w:rsidRPr="00177ED2">
              <w:t>?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Does the </w:t>
            </w:r>
            <w:r w:rsidRPr="00177ED2">
              <w:rPr>
                <w:b/>
              </w:rPr>
              <w:t>fiction section</w:t>
            </w:r>
            <w:r w:rsidRPr="00177ED2">
              <w:t xml:space="preserve"> of the collection present a wide range of genre at many levels (realistic fiction, science fiction, historical fiction, fantasy, folk tale, fairy tale, series books, classics and contemporary selections, drama, poetry)?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Does the </w:t>
            </w:r>
            <w:r w:rsidRPr="00177ED2">
              <w:rPr>
                <w:b/>
              </w:rPr>
              <w:t>nonfiction section</w:t>
            </w:r>
            <w:r w:rsidRPr="00177ED2">
              <w:t xml:space="preserve"> present a wide range of genre at many levels (procedure (how-to), description, explanation, persuasive, biography, magazines, brochures, field guides, menus, 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Are </w:t>
            </w:r>
            <w:r w:rsidRPr="00177ED2">
              <w:rPr>
                <w:b/>
              </w:rPr>
              <w:t>enlarged texts</w:t>
            </w:r>
            <w:r w:rsidRPr="00177ED2">
              <w:t xml:space="preserve"> such as big books readily available for independent reading in primary </w:t>
            </w:r>
            <w:proofErr w:type="gramStart"/>
            <w:r w:rsidRPr="00177ED2">
              <w:t>classrooms.</w:t>
            </w:r>
            <w:proofErr w:type="gramEnd"/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Are </w:t>
            </w:r>
            <w:r w:rsidRPr="00177ED2">
              <w:rPr>
                <w:b/>
              </w:rPr>
              <w:t>science and social studies</w:t>
            </w:r>
            <w:r w:rsidRPr="00177ED2">
              <w:t xml:space="preserve"> standards supported in books with huge kid appeal?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Does each learner have a </w:t>
            </w:r>
            <w:r w:rsidRPr="00177ED2">
              <w:rPr>
                <w:b/>
              </w:rPr>
              <w:t>bag of independent reading books</w:t>
            </w:r>
            <w:r w:rsidRPr="00177ED2">
              <w:t xml:space="preserve"> that represent a range of genre (fiction and nonfiction) plus a solid core of “just right” books and books that build passion for the reader?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Are </w:t>
            </w:r>
            <w:r w:rsidRPr="00177ED2">
              <w:rPr>
                <w:b/>
              </w:rPr>
              <w:t>book displays visually appealing</w:t>
            </w:r>
            <w:r w:rsidRPr="00177ED2">
              <w:t>, inviting readers to explore, to read and to learn?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  <w:tr w:rsidR="00B150E6" w:rsidRPr="00177ED2" w:rsidTr="00B150E6">
        <w:tc>
          <w:tcPr>
            <w:tcW w:w="7218" w:type="dxa"/>
          </w:tcPr>
          <w:p w:rsidR="00B150E6" w:rsidRPr="00177ED2" w:rsidRDefault="00B150E6" w:rsidP="00B150E6">
            <w:r w:rsidRPr="00177ED2">
              <w:t xml:space="preserve">Do children have a chance to </w:t>
            </w:r>
            <w:r w:rsidRPr="00177ED2">
              <w:rPr>
                <w:b/>
              </w:rPr>
              <w:t>rate or offer opinions</w:t>
            </w:r>
            <w:r w:rsidRPr="00177ED2">
              <w:t xml:space="preserve"> on the books they read from the classroom library?  Do others read their reviews?</w:t>
            </w:r>
          </w:p>
        </w:tc>
        <w:tc>
          <w:tcPr>
            <w:tcW w:w="2970" w:type="dxa"/>
          </w:tcPr>
          <w:p w:rsidR="00B150E6" w:rsidRPr="00177ED2" w:rsidRDefault="00B150E6" w:rsidP="00B150E6"/>
        </w:tc>
        <w:tc>
          <w:tcPr>
            <w:tcW w:w="2988" w:type="dxa"/>
          </w:tcPr>
          <w:p w:rsidR="00B150E6" w:rsidRPr="00177ED2" w:rsidRDefault="00B150E6" w:rsidP="00B150E6"/>
        </w:tc>
      </w:tr>
    </w:tbl>
    <w:p w:rsidR="00C20019" w:rsidRDefault="00D777FD"/>
    <w:sectPr w:rsidR="00C20019" w:rsidSect="00B150E6">
      <w:footerReference w:type="default" r:id="rId7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FD" w:rsidRDefault="00D777FD">
      <w:r>
        <w:separator/>
      </w:r>
    </w:p>
  </w:endnote>
  <w:endnote w:type="continuationSeparator" w:id="0">
    <w:p w:rsidR="00D777FD" w:rsidRDefault="00D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E6" w:rsidRDefault="00CD2081">
    <w:pPr>
      <w:pStyle w:val="Footer"/>
    </w:pPr>
    <w:r>
      <w:t xml:space="preserve">Copyright </w:t>
    </w:r>
    <w:r w:rsidR="00B150E6">
      <w:t>L</w:t>
    </w:r>
    <w:r w:rsidR="00E5501B">
      <w:t>inda Hoyt, 2012</w:t>
    </w:r>
    <w:r>
      <w:t xml:space="preserve">    www.lindahoyt.com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FD" w:rsidRDefault="00D777FD">
      <w:r>
        <w:separator/>
      </w:r>
    </w:p>
  </w:footnote>
  <w:footnote w:type="continuationSeparator" w:id="0">
    <w:p w:rsidR="00D777FD" w:rsidRDefault="00D7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150E6"/>
    <w:rsid w:val="007F039C"/>
    <w:rsid w:val="00B150E6"/>
    <w:rsid w:val="00CD2081"/>
    <w:rsid w:val="00D777FD"/>
    <w:rsid w:val="00E55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E6"/>
    <w:pPr>
      <w:spacing w:after="0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0E6"/>
    <w:pPr>
      <w:spacing w:after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0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E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E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Hoyt</dc:creator>
  <cp:keywords/>
  <cp:lastModifiedBy>michael salinger</cp:lastModifiedBy>
  <cp:revision>3</cp:revision>
  <cp:lastPrinted>2010-10-17T18:05:00Z</cp:lastPrinted>
  <dcterms:created xsi:type="dcterms:W3CDTF">2012-04-29T20:52:00Z</dcterms:created>
  <dcterms:modified xsi:type="dcterms:W3CDTF">2012-06-27T03:09:00Z</dcterms:modified>
</cp:coreProperties>
</file>